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67" w:rsidRPr="00354FCA" w:rsidRDefault="00B23067" w:rsidP="00FF1AC9">
      <w:pPr>
        <w:spacing w:line="276" w:lineRule="auto"/>
        <w:jc w:val="center"/>
        <w:rPr>
          <w:rFonts w:ascii="Arial" w:hAnsi="Arial"/>
          <w:noProof/>
        </w:rPr>
      </w:pPr>
      <w:r w:rsidRPr="00354FCA">
        <w:rPr>
          <w:rFonts w:ascii="Arial" w:hAnsi="Arial"/>
          <w:noProof/>
          <w:lang w:eastAsia="pt-BR"/>
        </w:rPr>
        <w:drawing>
          <wp:inline distT="0" distB="0" distL="0" distR="0" wp14:anchorId="7B4AE299" wp14:editId="02E40CBC">
            <wp:extent cx="618490" cy="61849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067" w:rsidRPr="00354FCA" w:rsidRDefault="00B23067" w:rsidP="00FF1AC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SERVIÇO PÚBLICO FEDERAL</w:t>
      </w:r>
    </w:p>
    <w:p w:rsidR="00B23067" w:rsidRPr="00354FCA" w:rsidRDefault="00B23067" w:rsidP="00FF1AC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UNIVERSIDADE FEDERAL DE GOIÁS</w:t>
      </w:r>
    </w:p>
    <w:p w:rsidR="00B23067" w:rsidRPr="00354FCA" w:rsidRDefault="00B23067" w:rsidP="00FF1AC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INSTITUTO DE CIÊNCIAS BIOLÓGICAS, DEPARTAMENTO DE HISTOLOGIA</w:t>
      </w:r>
    </w:p>
    <w:p w:rsidR="00B23067" w:rsidRDefault="00B23067" w:rsidP="00FF1AC9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</w:p>
    <w:p w:rsidR="00B23067" w:rsidRPr="00B23067" w:rsidRDefault="00B23067" w:rsidP="00FF1AC9">
      <w:pPr>
        <w:spacing w:after="0" w:line="276" w:lineRule="auto"/>
        <w:jc w:val="center"/>
        <w:rPr>
          <w:rFonts w:ascii="Arial" w:hAnsi="Arial"/>
        </w:rPr>
      </w:pPr>
      <w:r w:rsidRPr="00B23067">
        <w:rPr>
          <w:rFonts w:ascii="Arial" w:hAnsi="Arial"/>
        </w:rPr>
        <w:t>Normas Complementares ao Edital PROGRAD nº. 49 de 04 de dezembro de 2018.</w:t>
      </w:r>
    </w:p>
    <w:p w:rsidR="00B23067" w:rsidRPr="00B23067" w:rsidRDefault="00B23067" w:rsidP="00FF1AC9">
      <w:pPr>
        <w:spacing w:after="0" w:line="276" w:lineRule="auto"/>
        <w:jc w:val="center"/>
        <w:rPr>
          <w:rFonts w:ascii="Arial" w:hAnsi="Arial"/>
        </w:rPr>
      </w:pPr>
      <w:r w:rsidRPr="00B23067">
        <w:rPr>
          <w:rFonts w:ascii="Arial" w:hAnsi="Arial"/>
        </w:rPr>
        <w:t> 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O DIRETOR DO INSTITUTO DE CIÊNCIAS BIOLÓGICAS DA UNIVERSIDADE FEDERAL DE GOIÁS nos termos da Resolução CEPEC nº. 1604/2018, torna público as Normas Complementares ao Edital PROGRAD nº. 49 de 04 de dezembro de 2018, da Pró-Reitoria de Graduação/Coordenação Geral de Monitoria dos Cursos de Graduação da UFG, visando seleção de discentes dos cursos de graduação para o Programa de Monitoria 2019/1.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 </w:t>
      </w:r>
    </w:p>
    <w:p w:rsidR="00B23067" w:rsidRPr="00A072E3" w:rsidRDefault="00B23067" w:rsidP="00FF1AC9">
      <w:pPr>
        <w:spacing w:after="0" w:line="276" w:lineRule="auto"/>
        <w:jc w:val="both"/>
        <w:rPr>
          <w:rFonts w:ascii="Arial" w:hAnsi="Arial"/>
          <w:b/>
        </w:rPr>
      </w:pPr>
      <w:r w:rsidRPr="00A072E3">
        <w:rPr>
          <w:rFonts w:ascii="Arial" w:hAnsi="Arial"/>
          <w:b/>
        </w:rPr>
        <w:t>1. DAS DISPOSIÇÕES PRELIMINARES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1.1. São concebidas duas modalidades de monitoria: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a) Monitoria remunerada: o monitor receberá uma bolsa mensal no valor de R$ 394,00, em conformidade com o Anexo I do Edital PROGRAD nº. 49 de 04 de dezembro de 2018.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b) Monitoria voluntária: o monitor não receberá bolsa.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1.2. A carga horária destinada às atividades de monitoria é de 12 (doze) horas semanais, em horários definidos pelo(a) professor(a) orientador(a) e de acordo as necessidades do Programa de Monitoria.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 </w:t>
      </w:r>
    </w:p>
    <w:p w:rsid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  <w:b/>
        </w:rPr>
        <w:t>2. DAS INSCRIÇÕES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2.1. Poderá se inscrever o estudante devidamente matriculado em curso de Graduação da UFG e com aprovação no componente curricular pleiteado.</w:t>
      </w:r>
    </w:p>
    <w:p w:rsidR="00B23067" w:rsidRPr="00B23067" w:rsidRDefault="00B23067" w:rsidP="00FF1AC9">
      <w:pPr>
        <w:spacing w:before="120"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2.2. As inscrições serão realizadas exclusivamente via SIGGA, no período de 14/12/2018 a 15/03/2019:</w:t>
      </w:r>
    </w:p>
    <w:p w:rsidR="00C6351D" w:rsidRDefault="00C6351D" w:rsidP="00FF1AC9">
      <w:pPr>
        <w:spacing w:before="120" w:after="0" w:line="276" w:lineRule="auto"/>
        <w:jc w:val="both"/>
        <w:rPr>
          <w:rFonts w:ascii="Arial" w:hAnsi="Arial"/>
          <w:i/>
        </w:rPr>
      </w:pPr>
      <w:r w:rsidRPr="00354FCA">
        <w:rPr>
          <w:rFonts w:ascii="Arial" w:hAnsi="Arial"/>
          <w:i/>
        </w:rPr>
        <w:t xml:space="preserve">SIGAA </w:t>
      </w:r>
      <w:r w:rsidRPr="00354FCA">
        <w:rPr>
          <w:rFonts w:ascii="Arial" w:hAnsi="Arial"/>
          <w:i/>
        </w:rPr>
        <w:sym w:font="Wingdings" w:char="F0F0"/>
      </w:r>
      <w:r w:rsidRPr="00354FCA">
        <w:rPr>
          <w:rFonts w:ascii="Arial" w:hAnsi="Arial"/>
          <w:i/>
        </w:rPr>
        <w:t xml:space="preserve"> Portal Discente </w:t>
      </w:r>
      <w:r w:rsidRPr="00354FCA">
        <w:rPr>
          <w:rFonts w:ascii="Arial" w:hAnsi="Arial"/>
          <w:i/>
        </w:rPr>
        <w:sym w:font="Wingdings" w:char="F0F0"/>
      </w:r>
      <w:r w:rsidRPr="00354FCA">
        <w:rPr>
          <w:rFonts w:ascii="Arial" w:hAnsi="Arial"/>
          <w:i/>
        </w:rPr>
        <w:t xml:space="preserve"> Monitoria </w:t>
      </w:r>
      <w:r w:rsidRPr="00354FCA">
        <w:rPr>
          <w:rFonts w:ascii="Arial" w:hAnsi="Arial"/>
          <w:i/>
        </w:rPr>
        <w:sym w:font="Wingdings" w:char="F0F0"/>
      </w:r>
      <w:r w:rsidRPr="00354FCA">
        <w:rPr>
          <w:rFonts w:ascii="Arial" w:hAnsi="Arial"/>
          <w:i/>
        </w:rPr>
        <w:t xml:space="preserve"> Inscrever-se em Seleção de Monitoria </w:t>
      </w:r>
      <w:r w:rsidRPr="00354FCA">
        <w:rPr>
          <w:rFonts w:ascii="Arial" w:hAnsi="Arial"/>
          <w:i/>
        </w:rPr>
        <w:sym w:font="Wingdings" w:char="F0F0"/>
      </w:r>
      <w:r w:rsidRPr="00354FCA">
        <w:rPr>
          <w:rFonts w:ascii="Arial" w:hAnsi="Arial"/>
          <w:i/>
        </w:rPr>
        <w:t xml:space="preserve"> Buscar oportunidades </w:t>
      </w:r>
      <w:r w:rsidRPr="00354FCA">
        <w:rPr>
          <w:rFonts w:ascii="Arial" w:hAnsi="Arial"/>
          <w:i/>
        </w:rPr>
        <w:sym w:font="Wingdings" w:char="F0F0"/>
      </w:r>
      <w:r w:rsidRPr="00354FCA">
        <w:rPr>
          <w:rFonts w:ascii="Arial" w:hAnsi="Arial"/>
          <w:i/>
        </w:rPr>
        <w:t xml:space="preserve"> Monitoria.</w:t>
      </w:r>
    </w:p>
    <w:p w:rsidR="00B23067" w:rsidRPr="00B23067" w:rsidRDefault="00B23067" w:rsidP="00FF1AC9">
      <w:pPr>
        <w:spacing w:before="120"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 </w:t>
      </w:r>
    </w:p>
    <w:p w:rsid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  <w:b/>
        </w:rPr>
        <w:t>3. DO PROCESSO DE SELEÇÃO</w:t>
      </w:r>
    </w:p>
    <w:tbl>
      <w:tblPr>
        <w:tblW w:w="8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560"/>
        <w:gridCol w:w="1842"/>
        <w:gridCol w:w="1560"/>
        <w:gridCol w:w="1559"/>
      </w:tblGrid>
      <w:tr w:rsidR="002509A7" w:rsidRPr="002509A7" w:rsidTr="002509A7">
        <w:trPr>
          <w:trHeight w:val="45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AREA/</w:t>
            </w:r>
          </w:p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COMPONENTE CURRICULAR (código)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QUANTIDADE DE VAGAS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PROFESSOR(A) ORIENTADOR(A)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NATUREZA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 </w:t>
            </w:r>
          </w:p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CRITÉRIOS DE SELEÇÃO</w:t>
            </w:r>
          </w:p>
        </w:tc>
      </w:tr>
      <w:tr w:rsidR="002509A7" w:rsidRPr="002509A7" w:rsidTr="002509A7">
        <w:trPr>
          <w:trHeight w:val="472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Ecologia Molecular (ICB 0203)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Rosane Garcia Collevatti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b/>
                <w:bCs/>
                <w:sz w:val="20"/>
                <w:szCs w:val="20"/>
              </w:rPr>
              <w:t>COM BOLSA</w:t>
            </w:r>
          </w:p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 </w:t>
            </w:r>
          </w:p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 </w:t>
            </w:r>
          </w:p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 </w:t>
            </w:r>
          </w:p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 </w:t>
            </w:r>
          </w:p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 </w:t>
            </w:r>
          </w:p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 </w:t>
            </w:r>
          </w:p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 </w:t>
            </w:r>
          </w:p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lastRenderedPageBreak/>
              <w:t> </w:t>
            </w:r>
          </w:p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 </w:t>
            </w:r>
          </w:p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 </w:t>
            </w:r>
          </w:p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 </w:t>
            </w:r>
          </w:p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  <w:lang w:val="x-none"/>
              </w:rPr>
              <w:t>1.       Nota final obtida pelo aluno no componente curricular;</w:t>
            </w:r>
          </w:p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  <w:lang w:val="x-none"/>
              </w:rPr>
              <w:t>2.       Média global do aluno.</w:t>
            </w:r>
          </w:p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509A7" w:rsidRPr="002509A7" w:rsidTr="002509A7">
        <w:trPr>
          <w:trHeight w:val="206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 </w:t>
            </w:r>
          </w:p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Genética (ICB 0785)</w:t>
            </w:r>
          </w:p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Daniela de Melo e Silva</w:t>
            </w:r>
          </w:p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2509A7" w:rsidRPr="002509A7" w:rsidTr="002509A7">
        <w:trPr>
          <w:trHeight w:val="705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lastRenderedPageBreak/>
              <w:t> </w:t>
            </w:r>
          </w:p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Genética (ICB 0317)</w:t>
            </w:r>
          </w:p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Genética e Evolução (ICB 0328)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Leila Garcês de Araújo</w:t>
            </w:r>
          </w:p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Walter Alvarenga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2509A7" w:rsidRPr="002509A7" w:rsidTr="002509A7">
        <w:trPr>
          <w:trHeight w:val="557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lastRenderedPageBreak/>
              <w:t> </w:t>
            </w:r>
          </w:p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Genética e Evolução (ICB 0329)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Rosangela Hatori Rocha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2509A7" w:rsidRPr="002509A7" w:rsidTr="002509A7">
        <w:trPr>
          <w:trHeight w:val="455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 </w:t>
            </w:r>
          </w:p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Radiobiologia (ICB 0579)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Lee Chen Chen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2509A7" w:rsidRPr="002509A7" w:rsidTr="002509A7">
        <w:trPr>
          <w:trHeight w:val="244"/>
        </w:trPr>
        <w:tc>
          <w:tcPr>
            <w:tcW w:w="66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2509A7" w:rsidRPr="002509A7" w:rsidTr="002509A7">
        <w:trPr>
          <w:trHeight w:val="336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Ecologia Molecular (ICB 0203)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Rosane Garcia Collevatti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b/>
                <w:bCs/>
                <w:sz w:val="20"/>
                <w:szCs w:val="20"/>
              </w:rPr>
              <w:t>VOLUNTÁRIA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2509A7" w:rsidRPr="002509A7" w:rsidTr="002509A7">
        <w:trPr>
          <w:trHeight w:val="620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 </w:t>
            </w:r>
          </w:p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Genética (ICB 0785)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Daniela de Melo e Silva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2509A7" w:rsidRPr="002509A7" w:rsidTr="002509A7">
        <w:trPr>
          <w:trHeight w:val="420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 </w:t>
            </w:r>
          </w:p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Genética (ICB 0317)</w:t>
            </w:r>
          </w:p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Genética e Evolução (ICB 0328)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Leila Garcês de Araújo</w:t>
            </w:r>
          </w:p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Walter Alvarenga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2509A7" w:rsidRPr="002509A7" w:rsidTr="002509A7">
        <w:trPr>
          <w:trHeight w:val="773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 </w:t>
            </w:r>
          </w:p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Genética e Evolução (ICB 0329)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Rosangela Hatori Rocha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2509A7" w:rsidRPr="002509A7" w:rsidTr="002509A7">
        <w:trPr>
          <w:trHeight w:val="509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Radiobiologia (ICB 0579)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Lee Chen Chen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2509A7" w:rsidRPr="002509A7" w:rsidTr="002509A7">
        <w:trPr>
          <w:trHeight w:val="224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Atenção Integral à Saúde da Mulher e da Criança (FME 0127)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Elisangela de Paula Silveira Lacerda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2509A7" w:rsidRPr="002509A7" w:rsidTr="002509A7">
        <w:trPr>
          <w:trHeight w:val="709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 </w:t>
            </w:r>
          </w:p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Oncologia, Hematologia e Genética Clínica (FME 0112)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509A7">
              <w:rPr>
                <w:rFonts w:ascii="Arial" w:hAnsi="Arial"/>
                <w:sz w:val="20"/>
                <w:szCs w:val="20"/>
              </w:rPr>
              <w:t>Elisangela de Paula Silveira Lacerda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9A7" w:rsidRPr="002509A7" w:rsidRDefault="002509A7" w:rsidP="002509A7">
            <w:pPr>
              <w:spacing w:after="0"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4. DA DIVULGAÇÃO DO RESULTADO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4.1. O resultado preliminar será divulgado no dia 21/03/2019 nos canais oficiais da Unidade Acadêmica como: quadro de avisos, endereço eletrônico www.icb.ufg.br e outros.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4.2. O resultado final, após análise de recursos, será divulgado no dia 25/03/2019, nos mesmos canais mencionados no item 4.1.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lastRenderedPageBreak/>
        <w:t>4.3. A Coordenação de Monitoria Local cadastrará no SIGAA o(s) resultado(s) do processo seletivo no dia 25/03/2019.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5. DA INTERPOSIÇÃO DE RECURSOS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5.1. Após a divulgação do resultado preliminar, o candidato poderá interpor recurso ao resultado no dia 22/03/2019, via e-mail: frbdamata@yahoo.com.br.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5.2. O resultado dos recursos será divulgado dia 25/03/2019 nos canais oficiais da Unidade Acadêmica como: quadro de avisos, sítio www.icb.ufg.br e outros.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6. DA CONVOCAÇÃO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6.1. Após a divulgação do resultado final do processo seletivo pela Unidade Acadêmica, o(a) candidato(a) aprovado(a) em mais de uma vaga de monitoria remunerada deve manifestar ao coordenador de monitoria da unidade o interesse por apenas uma das vagas, no período de 25 a 26/03/2019, via e-mail: </w:t>
      </w:r>
      <w:r w:rsidR="00503CA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monitoriaicbufg@gmail.com</w:t>
      </w: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 No caso do estudante não enviar nenhuma comunicação pelo email informado, ficará a cargo do coordenador local de monitoria a escolha da vaga a ser preenchida.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6.2. Caso o monitor seja aprovado na vaga de monitoria remunerada, mas não deseje receber a bolsa, seja em razão de já ser beneficiário de outra modalidade de bolsa ou por qualquer outro motivo, ele deve manifestar a recusa logo após o resultado final do processo seletivo, no período de 25 a 26/03/2019, via e-mail </w:t>
      </w:r>
      <w:r w:rsidR="00503CA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monitoriaicbufg@gmail.com</w:t>
      </w: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para que possa assumir a vaga de monitoria voluntária.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6.3. No dia 27/03/2019 a Coordenação de Monitoria Local, via SIGAA, convocará os estudantes selecionados(as) no processo seletivo para o início das atividades.</w:t>
      </w:r>
      <w:bookmarkStart w:id="0" w:name="_GoBack"/>
      <w:bookmarkEnd w:id="0"/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6.4. Os(as) convocados(as) deverão, no período de 27 a 28/03/2019 aceitar ou recusar a convocação para o início das atividades de monitoria, via SIGAA: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SIGAA  Portal Discente  Monitoria Meus projetos de Monitoria Aceitar ou Recusar Monitoria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6.5. Ao aceitar a monitoria, o(a) convocado(a) estará ativo como monitor(a).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7. DAS BOLSAS</w:t>
      </w:r>
    </w:p>
    <w:p w:rsid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7.1. Em caso de vagas de bolsas não preenchidas, a seleção dos novos estudantes será realizada de acordo com o seguinte critério: Caso haja desistência de algum monitor bolsista ou voluntário, os candidatos aprovados poderão ser remanejados dentro da sua respectiva área de seleção para outros orientadores de acordo com o quadro de distribuição de vagas e ordem de classificação.  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8. DAS DISPOSIÇÕES FINAIS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8.1. Os casos omissos serão decididos pela Coordenação de Monitoria Local e/ou Direção da Unidade Acadêmica.</w:t>
      </w:r>
    </w:p>
    <w:p w:rsidR="008868FA" w:rsidRPr="008868FA" w:rsidRDefault="008868FA" w:rsidP="008868F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8868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A072E3" w:rsidRPr="00A072E3" w:rsidRDefault="00A072E3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</w:rPr>
        <w:lastRenderedPageBreak/>
        <w:t> </w:t>
      </w:r>
    </w:p>
    <w:p w:rsidR="00A072E3" w:rsidRPr="00A072E3" w:rsidRDefault="00A072E3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</w:rPr>
        <w:t> </w:t>
      </w:r>
    </w:p>
    <w:p w:rsidR="00A072E3" w:rsidRPr="00A072E3" w:rsidRDefault="00A072E3" w:rsidP="00FF1AC9">
      <w:pPr>
        <w:spacing w:after="0" w:line="276" w:lineRule="auto"/>
        <w:jc w:val="right"/>
        <w:rPr>
          <w:rFonts w:ascii="Arial" w:hAnsi="Arial"/>
        </w:rPr>
      </w:pPr>
      <w:r w:rsidRPr="00A072E3">
        <w:rPr>
          <w:rFonts w:ascii="Arial" w:hAnsi="Arial"/>
        </w:rPr>
        <w:t>Goiânia, 13 de dezembro de 2018.</w:t>
      </w:r>
    </w:p>
    <w:p w:rsidR="00A072E3" w:rsidRPr="00A072E3" w:rsidRDefault="00A072E3" w:rsidP="00FF1AC9">
      <w:pPr>
        <w:spacing w:after="0" w:line="276" w:lineRule="auto"/>
        <w:jc w:val="right"/>
        <w:rPr>
          <w:rFonts w:ascii="Arial" w:hAnsi="Arial"/>
        </w:rPr>
      </w:pPr>
      <w:r w:rsidRPr="00A072E3">
        <w:rPr>
          <w:rFonts w:ascii="Arial" w:hAnsi="Arial"/>
        </w:rPr>
        <w:t> </w:t>
      </w:r>
    </w:p>
    <w:p w:rsidR="00A072E3" w:rsidRPr="00A072E3" w:rsidRDefault="00A072E3" w:rsidP="00FF1AC9">
      <w:pPr>
        <w:spacing w:after="0" w:line="276" w:lineRule="auto"/>
        <w:jc w:val="right"/>
        <w:rPr>
          <w:rFonts w:ascii="Arial" w:hAnsi="Arial"/>
        </w:rPr>
      </w:pPr>
      <w:r w:rsidRPr="00A072E3">
        <w:rPr>
          <w:rFonts w:ascii="Arial" w:hAnsi="Arial"/>
        </w:rPr>
        <w:t> </w:t>
      </w:r>
    </w:p>
    <w:p w:rsidR="00A072E3" w:rsidRPr="00A072E3" w:rsidRDefault="00A072E3" w:rsidP="00FF1AC9">
      <w:pPr>
        <w:spacing w:after="0" w:line="276" w:lineRule="auto"/>
        <w:jc w:val="right"/>
        <w:rPr>
          <w:rFonts w:ascii="Arial" w:hAnsi="Arial"/>
        </w:rPr>
      </w:pPr>
      <w:r w:rsidRPr="00A072E3">
        <w:rPr>
          <w:rFonts w:ascii="Arial" w:hAnsi="Arial"/>
        </w:rPr>
        <w:t>Prof. Gustavo Pedrino</w:t>
      </w:r>
    </w:p>
    <w:p w:rsidR="00A072E3" w:rsidRPr="00A072E3" w:rsidRDefault="00A072E3" w:rsidP="00FF1AC9">
      <w:pPr>
        <w:spacing w:after="0" w:line="276" w:lineRule="auto"/>
        <w:jc w:val="right"/>
        <w:rPr>
          <w:rFonts w:ascii="Arial" w:hAnsi="Arial"/>
        </w:rPr>
      </w:pPr>
      <w:r w:rsidRPr="00A072E3">
        <w:rPr>
          <w:rFonts w:ascii="Arial" w:hAnsi="Arial"/>
        </w:rPr>
        <w:t>Diretor do Instituto de Ciências Biológicas</w:t>
      </w:r>
    </w:p>
    <w:p w:rsidR="00A072E3" w:rsidRPr="00A072E3" w:rsidRDefault="00A072E3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</w:rPr>
        <w:br/>
      </w: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</w:rPr>
        <w:t> </w:t>
      </w: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35014D" w:rsidRDefault="0035014D" w:rsidP="00FF1AC9">
      <w:pPr>
        <w:spacing w:after="0" w:line="276" w:lineRule="auto"/>
        <w:jc w:val="both"/>
        <w:rPr>
          <w:rFonts w:ascii="Arial" w:hAnsi="Arial"/>
        </w:rPr>
      </w:pPr>
    </w:p>
    <w:p w:rsidR="0035014D" w:rsidRDefault="0035014D" w:rsidP="00FF1AC9">
      <w:pPr>
        <w:spacing w:after="0" w:line="276" w:lineRule="auto"/>
        <w:jc w:val="both"/>
        <w:rPr>
          <w:rFonts w:ascii="Arial" w:hAnsi="Arial"/>
        </w:rPr>
      </w:pPr>
    </w:p>
    <w:p w:rsidR="0035014D" w:rsidRDefault="0035014D" w:rsidP="00FF1AC9">
      <w:pPr>
        <w:spacing w:after="0" w:line="276" w:lineRule="auto"/>
        <w:jc w:val="both"/>
        <w:rPr>
          <w:rFonts w:ascii="Arial" w:hAnsi="Arial"/>
        </w:rPr>
      </w:pPr>
    </w:p>
    <w:p w:rsidR="0035014D" w:rsidRDefault="0035014D" w:rsidP="00FF1AC9">
      <w:pPr>
        <w:spacing w:after="0" w:line="276" w:lineRule="auto"/>
        <w:jc w:val="both"/>
        <w:rPr>
          <w:rFonts w:ascii="Arial" w:hAnsi="Arial"/>
        </w:rPr>
      </w:pPr>
    </w:p>
    <w:p w:rsidR="0035014D" w:rsidRDefault="0035014D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5F6314" w:rsidRDefault="005F6314" w:rsidP="00FF1AC9">
      <w:pPr>
        <w:spacing w:after="0" w:line="276" w:lineRule="auto"/>
        <w:jc w:val="both"/>
        <w:rPr>
          <w:rFonts w:ascii="Arial" w:hAnsi="Arial"/>
        </w:rPr>
      </w:pPr>
    </w:p>
    <w:p w:rsidR="0035014D" w:rsidRDefault="0035014D" w:rsidP="00FF1AC9">
      <w:pPr>
        <w:spacing w:after="0" w:line="276" w:lineRule="auto"/>
        <w:jc w:val="both"/>
        <w:rPr>
          <w:rFonts w:ascii="Arial" w:hAnsi="Arial"/>
        </w:rPr>
      </w:pPr>
    </w:p>
    <w:p w:rsidR="002509A7" w:rsidRDefault="002509A7" w:rsidP="00FF1AC9">
      <w:pPr>
        <w:spacing w:after="0" w:line="276" w:lineRule="auto"/>
        <w:jc w:val="both"/>
        <w:rPr>
          <w:rFonts w:ascii="Arial" w:hAnsi="Arial"/>
        </w:rPr>
      </w:pPr>
    </w:p>
    <w:p w:rsidR="002509A7" w:rsidRDefault="002509A7" w:rsidP="00FF1AC9">
      <w:pPr>
        <w:spacing w:after="0" w:line="276" w:lineRule="auto"/>
        <w:jc w:val="both"/>
        <w:rPr>
          <w:rFonts w:ascii="Arial" w:hAnsi="Arial"/>
        </w:rPr>
      </w:pPr>
    </w:p>
    <w:p w:rsidR="002509A7" w:rsidRDefault="002509A7" w:rsidP="00FF1AC9">
      <w:pPr>
        <w:spacing w:after="0" w:line="276" w:lineRule="auto"/>
        <w:jc w:val="both"/>
        <w:rPr>
          <w:rFonts w:ascii="Arial" w:hAnsi="Arial"/>
        </w:rPr>
      </w:pPr>
    </w:p>
    <w:p w:rsidR="002509A7" w:rsidRDefault="002509A7" w:rsidP="00FF1AC9">
      <w:pPr>
        <w:spacing w:after="0" w:line="276" w:lineRule="auto"/>
        <w:jc w:val="both"/>
        <w:rPr>
          <w:rFonts w:ascii="Arial" w:hAnsi="Arial"/>
        </w:rPr>
      </w:pPr>
    </w:p>
    <w:p w:rsidR="002509A7" w:rsidRDefault="002509A7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C6351D" w:rsidRPr="00354FCA" w:rsidRDefault="00C6351D" w:rsidP="00FF1AC9">
      <w:pPr>
        <w:spacing w:line="276" w:lineRule="auto"/>
        <w:jc w:val="center"/>
        <w:rPr>
          <w:rFonts w:ascii="Arial" w:hAnsi="Arial"/>
          <w:noProof/>
        </w:rPr>
      </w:pPr>
      <w:r w:rsidRPr="00354FCA">
        <w:rPr>
          <w:rFonts w:ascii="Arial" w:hAnsi="Arial"/>
          <w:noProof/>
          <w:lang w:eastAsia="pt-BR"/>
        </w:rPr>
        <w:lastRenderedPageBreak/>
        <w:drawing>
          <wp:inline distT="0" distB="0" distL="0" distR="0" wp14:anchorId="4FCCA111" wp14:editId="784BE5DC">
            <wp:extent cx="618490" cy="6184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51D" w:rsidRPr="00354FCA" w:rsidRDefault="00C6351D" w:rsidP="00FF1AC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SERVIÇO PÚBLICO FEDERAL</w:t>
      </w:r>
    </w:p>
    <w:p w:rsidR="00C6351D" w:rsidRPr="00354FCA" w:rsidRDefault="00C6351D" w:rsidP="00FF1AC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UNIVERSIDADE FEDERAL DE GOIÁS</w:t>
      </w:r>
    </w:p>
    <w:p w:rsidR="00C6351D" w:rsidRPr="00354FCA" w:rsidRDefault="00C6351D" w:rsidP="00FF1AC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INSTITUTO DE CIÊNCIAS BIOLÓGICAS, DEPARTAMENTO DE HISTOLOGIA</w:t>
      </w:r>
    </w:p>
    <w:p w:rsidR="00B23067" w:rsidRPr="00B23067" w:rsidRDefault="00B23067" w:rsidP="00FF1AC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B23067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</w:p>
    <w:p w:rsidR="00B23067" w:rsidRPr="00C6351D" w:rsidRDefault="00B23067" w:rsidP="00FF1AC9">
      <w:pPr>
        <w:spacing w:after="0" w:line="276" w:lineRule="auto"/>
        <w:jc w:val="center"/>
        <w:rPr>
          <w:rFonts w:ascii="Arial" w:hAnsi="Arial"/>
        </w:rPr>
      </w:pPr>
      <w:r w:rsidRPr="00C6351D">
        <w:rPr>
          <w:rFonts w:ascii="Arial" w:hAnsi="Arial"/>
        </w:rPr>
        <w:t>Processo Seletivo para preenchimento de vagas pelo Programa de Monitoria para o curso de graduação.</w:t>
      </w:r>
    </w:p>
    <w:p w:rsidR="00B23067" w:rsidRPr="00B23067" w:rsidRDefault="00B23067" w:rsidP="00FF1AC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B23067">
        <w:rPr>
          <w:rFonts w:ascii="ArialMT" w:eastAsia="Times New Roman" w:hAnsi="ArialMT" w:cs="Times New Roman"/>
          <w:color w:val="000000"/>
          <w:sz w:val="17"/>
          <w:szCs w:val="17"/>
          <w:lang w:eastAsia="pt-BR"/>
        </w:rPr>
        <w:t> </w:t>
      </w:r>
    </w:p>
    <w:p w:rsidR="00B23067" w:rsidRPr="00A072E3" w:rsidRDefault="00B23067" w:rsidP="00FF1AC9">
      <w:pPr>
        <w:spacing w:after="0" w:line="276" w:lineRule="auto"/>
        <w:jc w:val="center"/>
        <w:rPr>
          <w:rFonts w:ascii="Arial" w:hAnsi="Arial"/>
        </w:rPr>
      </w:pPr>
      <w:r w:rsidRPr="00A072E3">
        <w:rPr>
          <w:rFonts w:ascii="Arial" w:hAnsi="Arial"/>
        </w:rPr>
        <w:t>ANEXO I – CRONOGRAMA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6169"/>
      </w:tblGrid>
      <w:tr w:rsidR="005F6314" w:rsidTr="005F6314">
        <w:trPr>
          <w:trHeight w:val="874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13 de dezembro de 2018</w:t>
            </w:r>
          </w:p>
        </w:tc>
        <w:tc>
          <w:tcPr>
            <w:tcW w:w="6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Publicação das Normas Complementares ao Edital nº. 49 de 30 de novembro de 2018, contendo as normasdo Programa de Monitoriado Departamento de Histologia do ICB</w:t>
            </w:r>
          </w:p>
        </w:tc>
      </w:tr>
      <w:tr w:rsidR="005F6314" w:rsidTr="005F6314">
        <w:trPr>
          <w:trHeight w:val="883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" w:hAnsi="Arial" w:cs="Arial"/>
              </w:rPr>
              <w:t>14 de dezembrode 2018 a 15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pStyle w:val="standard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Arial" w:hAnsi="Arial" w:cs="Arial"/>
              </w:rPr>
              <w:t>Período de inscrição via SIGAA.</w:t>
            </w:r>
          </w:p>
          <w:p w:rsidR="005F6314" w:rsidRDefault="005F6314">
            <w:pPr>
              <w:jc w:val="both"/>
              <w:rPr>
                <w:rFonts w:ascii="Times New Roman" w:hAnsi="Times New Roman"/>
              </w:rPr>
            </w:pPr>
            <w:r>
              <w:rPr>
                <w:rStyle w:val="nfase"/>
                <w:rFonts w:ascii="Arial" w:hAnsi="Arial" w:cs="Arial"/>
              </w:rPr>
              <w:t>SIGAA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Portal Discente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Monitoria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Inscrever-se em Seleção de Monitoria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Buscar oportunidades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Monitoria.</w:t>
            </w:r>
          </w:p>
        </w:tc>
      </w:tr>
      <w:tr w:rsidR="005F6314" w:rsidTr="005F6314">
        <w:trPr>
          <w:trHeight w:val="493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" w:hAnsi="Arial" w:cs="Arial"/>
              </w:rPr>
              <w:t>16 a 18 de março </w:t>
            </w:r>
            <w:r>
              <w:rPr>
                <w:rFonts w:ascii="ArialMT" w:hAnsi="ArialMT"/>
              </w:rPr>
              <w:t>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Período de realização da prova escrita, oral, prática ou entrega de histórico acadêmico.</w:t>
            </w:r>
          </w:p>
        </w:tc>
      </w:tr>
      <w:tr w:rsidR="005F6314" w:rsidTr="005F6314">
        <w:trPr>
          <w:trHeight w:val="883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21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Divulgação do resultado preliminarnos canais oficiais da Unidade Acadêmica, como: quadro de avisos, sítio </w:t>
            </w:r>
            <w:hyperlink r:id="rId7" w:history="1">
              <w:r>
                <w:rPr>
                  <w:rStyle w:val="Hyperlink"/>
                  <w:rFonts w:ascii="ArialMT" w:hAnsi="ArialMT"/>
                  <w:b/>
                  <w:bCs/>
                  <w:color w:val="003390"/>
                </w:rPr>
                <w:t>www.icb.ufg.br</w:t>
              </w:r>
            </w:hyperlink>
            <w:r>
              <w:rPr>
                <w:color w:val="FF0000"/>
              </w:rPr>
              <w:t>.</w:t>
            </w:r>
          </w:p>
        </w:tc>
      </w:tr>
      <w:tr w:rsidR="005F6314" w:rsidTr="005F6314">
        <w:trPr>
          <w:trHeight w:val="364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22 de marçode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" w:hAnsi="Arial" w:cs="Arial"/>
              </w:rPr>
              <w:t>Interposição de recursos via e-mail: </w:t>
            </w:r>
            <w:r w:rsidR="00A5497B" w:rsidRPr="00A5497B">
              <w:rPr>
                <w:rFonts w:ascii="Arial" w:hAnsi="Arial" w:cs="Arial"/>
                <w:color w:val="FF0000"/>
              </w:rPr>
              <w:t> </w:t>
            </w:r>
            <w:r w:rsidR="002509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silvadanielamelo@gmail.com</w:t>
            </w:r>
          </w:p>
        </w:tc>
      </w:tr>
      <w:tr w:rsidR="005F6314" w:rsidTr="005F6314">
        <w:trPr>
          <w:trHeight w:val="927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25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Divulgação do resultado final nos canais oficiais da Unidade Acadêmica, como: quadro de avisos, www.icb.ufg.br</w:t>
            </w:r>
          </w:p>
        </w:tc>
      </w:tr>
      <w:tr w:rsidR="005F6314" w:rsidTr="005F6314">
        <w:trPr>
          <w:trHeight w:val="874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25 e 26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" w:hAnsi="Arial" w:cs="Arial"/>
              </w:rPr>
              <w:t>Prazo para o(a) selecionado(a) recusar a bolsa, via e-mail: monitoriaicbufg@gmail.com</w:t>
            </w:r>
          </w:p>
        </w:tc>
      </w:tr>
      <w:tr w:rsidR="005F6314" w:rsidTr="005F6314">
        <w:trPr>
          <w:trHeight w:val="623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25 e 26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" w:hAnsi="Arial" w:cs="Arial"/>
              </w:rPr>
              <w:t>Prazo para o(a) estudante selecionado(a) em mais de uma vaga de monitoria com bolsa, fazer a opção por uma única vaga, via e-mail:monitoriaicbufg@gmail.com</w:t>
            </w:r>
          </w:p>
        </w:tc>
      </w:tr>
      <w:tr w:rsidR="005F6314" w:rsidTr="005F6314">
        <w:trPr>
          <w:trHeight w:val="883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MT" w:hAnsi="ArialMT"/>
              </w:rPr>
              <w:t>27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14" w:rsidRDefault="005F6314">
            <w:pPr>
              <w:jc w:val="both"/>
            </w:pPr>
            <w:r>
              <w:rPr>
                <w:rFonts w:ascii="Arial" w:hAnsi="Arial" w:cs="Arial"/>
              </w:rPr>
              <w:t>Convocação dos discentes</w:t>
            </w:r>
            <w:r>
              <w:rPr>
                <w:rFonts w:ascii="ArialMT" w:hAnsi="ArialMT"/>
              </w:rPr>
              <w:t>no </w:t>
            </w:r>
            <w:r>
              <w:rPr>
                <w:rStyle w:val="nfase"/>
                <w:rFonts w:ascii="Arial" w:hAnsi="Arial" w:cs="Arial"/>
              </w:rPr>
              <w:t>SIGAA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Portal Discente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Monitoria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Meus projetos de Monitoria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Aceitar ou Recusar Monitoria.</w:t>
            </w:r>
          </w:p>
        </w:tc>
      </w:tr>
      <w:tr w:rsidR="005F6314" w:rsidTr="005F6314">
        <w:trPr>
          <w:trHeight w:val="1100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Default="005F6314">
            <w:pPr>
              <w:pStyle w:val="standard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Arial" w:hAnsi="Arial" w:cs="Arial"/>
              </w:rPr>
              <w:t>27 a 28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Default="005F6314">
            <w:pPr>
              <w:pStyle w:val="standard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Arial" w:hAnsi="Arial" w:cs="Arial"/>
              </w:rPr>
              <w:t>Prazo para aceitar ou recusar a monitoria via SIGAA.</w:t>
            </w:r>
          </w:p>
          <w:p w:rsidR="005F6314" w:rsidRDefault="005F6314">
            <w:pPr>
              <w:pStyle w:val="standard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Style w:val="nfase"/>
                <w:rFonts w:ascii="Arial" w:hAnsi="Arial" w:cs="Arial"/>
              </w:rPr>
              <w:t>SIGAA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Portal Discente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Monitoria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Meus projetos de Monitoria </w:t>
            </w:r>
            <w:r>
              <w:rPr>
                <w:rStyle w:val="nfase"/>
                <w:rFonts w:ascii="Wingdings" w:hAnsi="Wingdings"/>
              </w:rPr>
              <w:t></w:t>
            </w:r>
            <w:r>
              <w:rPr>
                <w:rStyle w:val="nfase"/>
                <w:rFonts w:ascii="Arial" w:hAnsi="Arial" w:cs="Arial"/>
              </w:rPr>
              <w:t> Aceitar ou Recusar Monitoria.</w:t>
            </w:r>
          </w:p>
        </w:tc>
      </w:tr>
      <w:tr w:rsidR="005F6314" w:rsidTr="005F6314">
        <w:trPr>
          <w:trHeight w:val="476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Default="005F6314">
            <w:pPr>
              <w:pStyle w:val="standard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Arial" w:hAnsi="Arial" w:cs="Arial"/>
              </w:rPr>
              <w:t>A partir de 27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314" w:rsidRDefault="005F6314">
            <w:pPr>
              <w:pStyle w:val="standard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Arial" w:hAnsi="Arial" w:cs="Arial"/>
              </w:rPr>
              <w:t>Início das atividades.</w:t>
            </w:r>
          </w:p>
        </w:tc>
      </w:tr>
    </w:tbl>
    <w:p w:rsidR="00C74872" w:rsidRDefault="00C74872" w:rsidP="00FF1AC9">
      <w:pPr>
        <w:spacing w:after="0" w:line="276" w:lineRule="auto"/>
        <w:jc w:val="both"/>
        <w:rPr>
          <w:rFonts w:ascii="Arial" w:hAnsi="Arial"/>
        </w:rPr>
      </w:pPr>
    </w:p>
    <w:p w:rsidR="006E3945" w:rsidRDefault="006E3945" w:rsidP="00FF1AC9">
      <w:pPr>
        <w:spacing w:after="0" w:line="276" w:lineRule="auto"/>
        <w:jc w:val="both"/>
        <w:rPr>
          <w:rFonts w:ascii="Arial" w:hAnsi="Arial"/>
        </w:rPr>
      </w:pPr>
    </w:p>
    <w:p w:rsidR="006E3945" w:rsidRPr="00C6351D" w:rsidRDefault="006E3945" w:rsidP="00FF1AC9">
      <w:pPr>
        <w:spacing w:after="0" w:line="276" w:lineRule="auto"/>
        <w:jc w:val="both"/>
        <w:rPr>
          <w:rFonts w:ascii="Arial" w:hAnsi="Arial"/>
        </w:rPr>
      </w:pPr>
    </w:p>
    <w:sectPr w:rsidR="006E3945" w:rsidRPr="00C6351D" w:rsidSect="002509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4A3" w:rsidRDefault="008B14A3" w:rsidP="00B23067">
      <w:pPr>
        <w:spacing w:after="0" w:line="240" w:lineRule="auto"/>
      </w:pPr>
      <w:r>
        <w:separator/>
      </w:r>
    </w:p>
  </w:endnote>
  <w:endnote w:type="continuationSeparator" w:id="0">
    <w:p w:rsidR="008B14A3" w:rsidRDefault="008B14A3" w:rsidP="00B2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4A3" w:rsidRDefault="008B14A3" w:rsidP="00B23067">
      <w:pPr>
        <w:spacing w:after="0" w:line="240" w:lineRule="auto"/>
      </w:pPr>
      <w:r>
        <w:separator/>
      </w:r>
    </w:p>
  </w:footnote>
  <w:footnote w:type="continuationSeparator" w:id="0">
    <w:p w:rsidR="008B14A3" w:rsidRDefault="008B14A3" w:rsidP="00B23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67"/>
    <w:rsid w:val="002344DE"/>
    <w:rsid w:val="002509A7"/>
    <w:rsid w:val="00346559"/>
    <w:rsid w:val="0035014D"/>
    <w:rsid w:val="003C0729"/>
    <w:rsid w:val="00503CA4"/>
    <w:rsid w:val="00584967"/>
    <w:rsid w:val="005F3975"/>
    <w:rsid w:val="005F6314"/>
    <w:rsid w:val="006D455A"/>
    <w:rsid w:val="006E3945"/>
    <w:rsid w:val="00841B7E"/>
    <w:rsid w:val="008868FA"/>
    <w:rsid w:val="008A237D"/>
    <w:rsid w:val="008B14A3"/>
    <w:rsid w:val="00A072E3"/>
    <w:rsid w:val="00A5497B"/>
    <w:rsid w:val="00AA58BD"/>
    <w:rsid w:val="00B1375F"/>
    <w:rsid w:val="00B23067"/>
    <w:rsid w:val="00B65B28"/>
    <w:rsid w:val="00BF36A1"/>
    <w:rsid w:val="00C6351D"/>
    <w:rsid w:val="00C74872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F4729-C47F-47D6-9B42-8EB09CEC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23067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2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2306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23067"/>
    <w:rPr>
      <w:i/>
      <w:iCs/>
    </w:rPr>
  </w:style>
  <w:style w:type="character" w:styleId="Hyperlink">
    <w:name w:val="Hyperlink"/>
    <w:basedOn w:val="Fontepargpadro"/>
    <w:uiPriority w:val="99"/>
    <w:unhideWhenUsed/>
    <w:rsid w:val="00B230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B2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23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3067"/>
  </w:style>
  <w:style w:type="paragraph" w:styleId="Rodap">
    <w:name w:val="footer"/>
    <w:basedOn w:val="Normal"/>
    <w:link w:val="RodapChar"/>
    <w:uiPriority w:val="99"/>
    <w:unhideWhenUsed/>
    <w:rsid w:val="00B23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12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14377009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1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39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662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498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837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086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924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1145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71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36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288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682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12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71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846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324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66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81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5623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692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10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780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881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1348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b.ufg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1133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2019-01-23T14:40:00Z</dcterms:created>
  <dcterms:modified xsi:type="dcterms:W3CDTF">2019-01-23T14:52:00Z</dcterms:modified>
</cp:coreProperties>
</file>